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F53" w:rsidRDefault="00434F53" w:rsidP="00434F53">
      <w:pPr>
        <w:jc w:val="center"/>
        <w:outlineLvl w:val="1"/>
        <w:rPr>
          <w:rFonts w:ascii="Roboto" w:eastAsia="Times New Roman" w:hAnsi="Roboto" w:cs="Times New Roman"/>
          <w:caps/>
          <w:color w:val="EF7993"/>
          <w:kern w:val="0"/>
          <w:sz w:val="30"/>
          <w:szCs w:val="30"/>
          <w:lang w:eastAsia="fr-FR"/>
          <w14:ligatures w14:val="none"/>
        </w:rPr>
      </w:pPr>
    </w:p>
    <w:p w:rsidR="00434F53" w:rsidRPr="00434F53" w:rsidRDefault="00434F53" w:rsidP="00434F53">
      <w:pPr>
        <w:jc w:val="center"/>
        <w:outlineLvl w:val="1"/>
        <w:rPr>
          <w:rFonts w:ascii="Roboto" w:eastAsia="Times New Roman" w:hAnsi="Roboto" w:cs="Times New Roman"/>
          <w:caps/>
          <w:color w:val="EF7993"/>
          <w:kern w:val="0"/>
          <w:sz w:val="30"/>
          <w:szCs w:val="30"/>
          <w:lang w:eastAsia="fr-FR"/>
          <w14:ligatures w14:val="none"/>
        </w:rPr>
      </w:pPr>
      <w:r>
        <w:rPr>
          <w:rFonts w:ascii="Roboto" w:eastAsia="Times New Roman" w:hAnsi="Roboto" w:cs="Times New Roman"/>
          <w:caps/>
          <w:color w:val="EF7993"/>
          <w:kern w:val="0"/>
          <w:sz w:val="30"/>
          <w:szCs w:val="30"/>
          <w:lang w:eastAsia="fr-FR"/>
          <w14:ligatures w14:val="none"/>
        </w:rPr>
        <w:t>LA REGLEMENTATION</w:t>
      </w:r>
      <w:r w:rsidRPr="00434F53">
        <w:rPr>
          <w:rFonts w:ascii="Roboto" w:eastAsia="Times New Roman" w:hAnsi="Roboto" w:cs="Times New Roman"/>
          <w:caps/>
          <w:color w:val="EF7993"/>
          <w:kern w:val="0"/>
          <w:sz w:val="30"/>
          <w:szCs w:val="30"/>
          <w:lang w:eastAsia="fr-FR"/>
          <w14:ligatures w14:val="none"/>
        </w:rPr>
        <w:t xml:space="preserve"> REACH</w:t>
      </w:r>
      <w:r>
        <w:rPr>
          <w:rFonts w:ascii="Roboto" w:eastAsia="Times New Roman" w:hAnsi="Roboto" w:cs="Times New Roman"/>
          <w:caps/>
          <w:color w:val="EF7993"/>
          <w:kern w:val="0"/>
          <w:sz w:val="30"/>
          <w:szCs w:val="30"/>
          <w:lang w:eastAsia="fr-FR"/>
          <w14:ligatures w14:val="none"/>
        </w:rPr>
        <w:t> :</w:t>
      </w:r>
    </w:p>
    <w:p w:rsidR="00434F53" w:rsidRPr="00434F53" w:rsidRDefault="00434F53" w:rsidP="00434F53">
      <w:pPr>
        <w:spacing w:before="180" w:after="180"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color w:val="4B4B4B"/>
          <w:kern w:val="0"/>
          <w:lang w:eastAsia="fr-FR"/>
          <w14:ligatures w14:val="none"/>
        </w:rPr>
        <w:t>Avez-vous déjà entendu parler de la </w:t>
      </w:r>
      <w:r w:rsidRPr="00434F53">
        <w:rPr>
          <w:rFonts w:ascii="Roboto" w:eastAsia="Times New Roman" w:hAnsi="Roboto" w:cs="Times New Roman"/>
          <w:b/>
          <w:bCs/>
          <w:color w:val="4B4B4B"/>
          <w:kern w:val="0"/>
          <w:lang w:eastAsia="fr-FR"/>
          <w14:ligatures w14:val="none"/>
        </w:rPr>
        <w:t>réglementation REACH</w:t>
      </w:r>
      <w:r w:rsidRPr="00434F53">
        <w:rPr>
          <w:rFonts w:ascii="Roboto" w:eastAsia="Times New Roman" w:hAnsi="Roboto" w:cs="Times New Roman"/>
          <w:color w:val="4B4B4B"/>
          <w:kern w:val="0"/>
          <w:lang w:eastAsia="fr-FR"/>
          <w14:ligatures w14:val="none"/>
        </w:rPr>
        <w:t> ? Si vous êtes un professionnel ou une professionnelle de la création de bijoux fantaisie, cela vous parle forcément. C'est même le règlement européen incontournable, à connaître absolument.</w:t>
      </w:r>
    </w:p>
    <w:p w:rsidR="00434F53" w:rsidRPr="00434F53" w:rsidRDefault="00434F53" w:rsidP="00434F53">
      <w:pPr>
        <w:outlineLvl w:val="1"/>
        <w:rPr>
          <w:rFonts w:ascii="Roboto" w:eastAsia="Times New Roman" w:hAnsi="Roboto" w:cs="Times New Roman"/>
          <w:caps/>
          <w:color w:val="EF7993"/>
          <w:kern w:val="0"/>
          <w:sz w:val="30"/>
          <w:szCs w:val="30"/>
          <w:lang w:eastAsia="fr-FR"/>
          <w14:ligatures w14:val="none"/>
        </w:rPr>
      </w:pPr>
      <w:r w:rsidRPr="00434F53">
        <w:rPr>
          <w:rFonts w:ascii="Roboto" w:eastAsia="Times New Roman" w:hAnsi="Roboto" w:cs="Times New Roman"/>
          <w:caps/>
          <w:color w:val="EF7993"/>
          <w:kern w:val="0"/>
          <w:sz w:val="30"/>
          <w:szCs w:val="30"/>
          <w:lang w:eastAsia="fr-FR"/>
          <w14:ligatures w14:val="none"/>
        </w:rPr>
        <w:t>C'EST QUOI REACH ?</w:t>
      </w:r>
    </w:p>
    <w:p w:rsidR="00434F53" w:rsidRPr="00434F53" w:rsidRDefault="00434F53" w:rsidP="00434F53">
      <w:pPr>
        <w:spacing w:before="180" w:after="180" w:line="360" w:lineRule="atLeast"/>
        <w:rPr>
          <w:rFonts w:ascii="Roboto" w:eastAsia="Times New Roman" w:hAnsi="Roboto" w:cs="Times New Roman"/>
          <w:color w:val="4B4B4B"/>
          <w:kern w:val="0"/>
          <w:lang w:eastAsia="fr-FR"/>
          <w14:ligatures w14:val="none"/>
        </w:rPr>
      </w:pPr>
      <w:proofErr w:type="spellStart"/>
      <w:r w:rsidRPr="00434F53">
        <w:rPr>
          <w:rFonts w:ascii="Roboto" w:eastAsia="Times New Roman" w:hAnsi="Roboto" w:cs="Times New Roman"/>
          <w:color w:val="4B4B4B"/>
          <w:kern w:val="0"/>
          <w:lang w:eastAsia="fr-FR"/>
          <w14:ligatures w14:val="none"/>
        </w:rPr>
        <w:t>Reach</w:t>
      </w:r>
      <w:proofErr w:type="spellEnd"/>
      <w:r w:rsidRPr="00434F53">
        <w:rPr>
          <w:rFonts w:ascii="Roboto" w:eastAsia="Times New Roman" w:hAnsi="Roboto" w:cs="Times New Roman"/>
          <w:color w:val="4B4B4B"/>
          <w:kern w:val="0"/>
          <w:lang w:eastAsia="fr-FR"/>
          <w14:ligatures w14:val="none"/>
        </w:rPr>
        <w:t xml:space="preserve">, c'est l'acronyme anglais de Registration, </w:t>
      </w:r>
      <w:proofErr w:type="spellStart"/>
      <w:r w:rsidRPr="00434F53">
        <w:rPr>
          <w:rFonts w:ascii="Roboto" w:eastAsia="Times New Roman" w:hAnsi="Roboto" w:cs="Times New Roman"/>
          <w:color w:val="4B4B4B"/>
          <w:kern w:val="0"/>
          <w:lang w:eastAsia="fr-FR"/>
          <w14:ligatures w14:val="none"/>
        </w:rPr>
        <w:t>Evaluation</w:t>
      </w:r>
      <w:proofErr w:type="spellEnd"/>
      <w:r w:rsidRPr="00434F53">
        <w:rPr>
          <w:rFonts w:ascii="Roboto" w:eastAsia="Times New Roman" w:hAnsi="Roboto" w:cs="Times New Roman"/>
          <w:color w:val="4B4B4B"/>
          <w:kern w:val="0"/>
          <w:lang w:eastAsia="fr-FR"/>
          <w14:ligatures w14:val="none"/>
        </w:rPr>
        <w:t xml:space="preserve">, </w:t>
      </w:r>
      <w:proofErr w:type="spellStart"/>
      <w:r w:rsidRPr="00434F53">
        <w:rPr>
          <w:rFonts w:ascii="Roboto" w:eastAsia="Times New Roman" w:hAnsi="Roboto" w:cs="Times New Roman"/>
          <w:color w:val="4B4B4B"/>
          <w:kern w:val="0"/>
          <w:lang w:eastAsia="fr-FR"/>
          <w14:ligatures w14:val="none"/>
        </w:rPr>
        <w:t>Authorisation</w:t>
      </w:r>
      <w:proofErr w:type="spellEnd"/>
      <w:r w:rsidRPr="00434F53">
        <w:rPr>
          <w:rFonts w:ascii="Roboto" w:eastAsia="Times New Roman" w:hAnsi="Roboto" w:cs="Times New Roman"/>
          <w:color w:val="4B4B4B"/>
          <w:kern w:val="0"/>
          <w:lang w:eastAsia="fr-FR"/>
          <w14:ligatures w14:val="none"/>
        </w:rPr>
        <w:t xml:space="preserve"> and Restriction of Chemicals (soit </w:t>
      </w:r>
      <w:r w:rsidRPr="00434F53">
        <w:rPr>
          <w:rFonts w:ascii="Roboto" w:eastAsia="Times New Roman" w:hAnsi="Roboto" w:cs="Times New Roman"/>
          <w:b/>
          <w:bCs/>
          <w:color w:val="4B4B4B"/>
          <w:kern w:val="0"/>
          <w:lang w:eastAsia="fr-FR"/>
          <w14:ligatures w14:val="none"/>
        </w:rPr>
        <w:t>système d'enregistrement, d'évaluation, d'autorisation et restriction des produits chimiques</w:t>
      </w:r>
      <w:r w:rsidRPr="00434F53">
        <w:rPr>
          <w:rFonts w:ascii="Roboto" w:eastAsia="Times New Roman" w:hAnsi="Roboto" w:cs="Times New Roman"/>
          <w:color w:val="4B4B4B"/>
          <w:kern w:val="0"/>
          <w:lang w:eastAsia="fr-FR"/>
          <w14:ligatures w14:val="none"/>
        </w:rPr>
        <w:t> en français).</w:t>
      </w:r>
    </w:p>
    <w:p w:rsidR="00434F53" w:rsidRPr="00434F53" w:rsidRDefault="00434F53" w:rsidP="00434F53">
      <w:pPr>
        <w:spacing w:before="180" w:after="180"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color w:val="4B4B4B"/>
          <w:kern w:val="0"/>
          <w:lang w:eastAsia="fr-FR"/>
          <w14:ligatures w14:val="none"/>
        </w:rPr>
        <w:t>Il s'agit d'un règlement de l'Union européenne (règlement 1907/2006), entré en vigueur le 1er juin 2007, destiné à </w:t>
      </w:r>
      <w:r w:rsidRPr="00434F53">
        <w:rPr>
          <w:rFonts w:ascii="Roboto" w:eastAsia="Times New Roman" w:hAnsi="Roboto" w:cs="Times New Roman"/>
          <w:b/>
          <w:bCs/>
          <w:color w:val="4B4B4B"/>
          <w:kern w:val="0"/>
          <w:lang w:eastAsia="fr-FR"/>
          <w14:ligatures w14:val="none"/>
        </w:rPr>
        <w:t>encadrer l'utilisation des substances chimiques en Europe</w:t>
      </w:r>
      <w:r w:rsidRPr="00434F53">
        <w:rPr>
          <w:rFonts w:ascii="Roboto" w:eastAsia="Times New Roman" w:hAnsi="Roboto" w:cs="Times New Roman"/>
          <w:color w:val="4B4B4B"/>
          <w:kern w:val="0"/>
          <w:lang w:eastAsia="fr-FR"/>
          <w14:ligatures w14:val="none"/>
        </w:rPr>
        <w:t>. Il vise à garantir à tous un haut niveau de protection contre les risques liés aux substances chimiques. </w:t>
      </w:r>
      <w:r w:rsidRPr="00434F53">
        <w:rPr>
          <w:rFonts w:ascii="Roboto" w:eastAsia="Times New Roman" w:hAnsi="Roboto" w:cs="Times New Roman"/>
          <w:b/>
          <w:bCs/>
          <w:color w:val="4B4B4B"/>
          <w:kern w:val="0"/>
          <w:lang w:eastAsia="fr-FR"/>
          <w14:ligatures w14:val="none"/>
        </w:rPr>
        <w:t>Les produits finis doivent être testés et reconnus conformes avant d'être mis sur le marché</w:t>
      </w:r>
      <w:r w:rsidRPr="00434F53">
        <w:rPr>
          <w:rFonts w:ascii="Roboto" w:eastAsia="Times New Roman" w:hAnsi="Roboto" w:cs="Times New Roman"/>
          <w:color w:val="4B4B4B"/>
          <w:kern w:val="0"/>
          <w:lang w:eastAsia="fr-FR"/>
          <w14:ligatures w14:val="none"/>
        </w:rPr>
        <w:t>.</w:t>
      </w:r>
    </w:p>
    <w:p w:rsidR="00434F53" w:rsidRPr="00434F53" w:rsidRDefault="00434F53" w:rsidP="00434F53">
      <w:pPr>
        <w:spacing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color w:val="4B4B4B"/>
          <w:kern w:val="0"/>
          <w:lang w:eastAsia="fr-FR"/>
          <w14:ligatures w14:val="none"/>
        </w:rPr>
        <w:t>Grâce à un travail de fond, l'agence européenne des produits chimiques (</w:t>
      </w:r>
      <w:hyperlink r:id="rId5" w:history="1">
        <w:r w:rsidRPr="00434F53">
          <w:rPr>
            <w:rFonts w:ascii="Roboto" w:eastAsia="Times New Roman" w:hAnsi="Roboto" w:cs="Times New Roman"/>
            <w:color w:val="EF7993"/>
            <w:kern w:val="0"/>
            <w:u w:val="single"/>
            <w:lang w:eastAsia="fr-FR"/>
            <w14:ligatures w14:val="none"/>
          </w:rPr>
          <w:t>ECHA</w:t>
        </w:r>
      </w:hyperlink>
      <w:r w:rsidRPr="00434F53">
        <w:rPr>
          <w:rFonts w:ascii="Roboto" w:eastAsia="Times New Roman" w:hAnsi="Roboto" w:cs="Times New Roman"/>
          <w:color w:val="4B4B4B"/>
          <w:kern w:val="0"/>
          <w:lang w:eastAsia="fr-FR"/>
          <w14:ligatures w14:val="none"/>
        </w:rPr>
        <w:t>), basée à Helsinki en Finlande, a enregistré au 1er mai 2018, 30 000 substances et leurs risques potentiels, dans tous les domaines d'activité confondus.</w:t>
      </w:r>
    </w:p>
    <w:p w:rsidR="00434F53" w:rsidRPr="00434F53" w:rsidRDefault="00434F53" w:rsidP="00434F53">
      <w:pPr>
        <w:outlineLvl w:val="1"/>
        <w:rPr>
          <w:rFonts w:ascii="Roboto" w:eastAsia="Times New Roman" w:hAnsi="Roboto" w:cs="Times New Roman"/>
          <w:caps/>
          <w:color w:val="EF7993"/>
          <w:kern w:val="0"/>
          <w:sz w:val="30"/>
          <w:szCs w:val="30"/>
          <w:lang w:eastAsia="fr-FR"/>
          <w14:ligatures w14:val="none"/>
        </w:rPr>
      </w:pPr>
      <w:r w:rsidRPr="00434F53">
        <w:rPr>
          <w:rFonts w:ascii="Roboto" w:eastAsia="Times New Roman" w:hAnsi="Roboto" w:cs="Times New Roman"/>
          <w:caps/>
          <w:color w:val="EF7993"/>
          <w:kern w:val="0"/>
          <w:sz w:val="30"/>
          <w:szCs w:val="30"/>
          <w:lang w:eastAsia="fr-FR"/>
          <w14:ligatures w14:val="none"/>
        </w:rPr>
        <w:t>QUELS SONT LES OBJECTIFS DE LA RÉGLEMENTATION REACH ?</w:t>
      </w:r>
    </w:p>
    <w:p w:rsidR="00434F53" w:rsidRPr="00434F53" w:rsidRDefault="00434F53" w:rsidP="00434F53">
      <w:pPr>
        <w:spacing w:before="180" w:after="180"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color w:val="4B4B4B"/>
          <w:kern w:val="0"/>
          <w:lang w:eastAsia="fr-FR"/>
          <w14:ligatures w14:val="none"/>
        </w:rPr>
        <w:t>Lors de la mise en place du règlement européen REACH, les états membres ont fixé divers objectifs : </w:t>
      </w:r>
    </w:p>
    <w:p w:rsidR="00434F53" w:rsidRPr="00434F53" w:rsidRDefault="00434F53" w:rsidP="00434F53">
      <w:pPr>
        <w:numPr>
          <w:ilvl w:val="0"/>
          <w:numId w:val="1"/>
        </w:numPr>
        <w:spacing w:before="100" w:beforeAutospacing="1" w:after="100" w:afterAutospacing="1"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b/>
          <w:bCs/>
          <w:color w:val="4B4B4B"/>
          <w:kern w:val="0"/>
          <w:lang w:eastAsia="fr-FR"/>
          <w14:ligatures w14:val="none"/>
        </w:rPr>
        <w:t>Améliorer</w:t>
      </w:r>
      <w:r w:rsidRPr="00434F53">
        <w:rPr>
          <w:rFonts w:ascii="Roboto" w:eastAsia="Times New Roman" w:hAnsi="Roboto" w:cs="Times New Roman"/>
          <w:color w:val="4B4B4B"/>
          <w:kern w:val="0"/>
          <w:lang w:eastAsia="fr-FR"/>
          <w14:ligatures w14:val="none"/>
        </w:rPr>
        <w:t> la protection de la santé humaine et de l'environnement contre les substances chimiques.</w:t>
      </w:r>
    </w:p>
    <w:p w:rsidR="00434F53" w:rsidRPr="00434F53" w:rsidRDefault="00434F53" w:rsidP="00434F53">
      <w:pPr>
        <w:numPr>
          <w:ilvl w:val="0"/>
          <w:numId w:val="1"/>
        </w:numPr>
        <w:spacing w:before="100" w:beforeAutospacing="1" w:after="100" w:afterAutospacing="1"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b/>
          <w:bCs/>
          <w:color w:val="4B4B4B"/>
          <w:kern w:val="0"/>
          <w:lang w:eastAsia="fr-FR"/>
          <w14:ligatures w14:val="none"/>
        </w:rPr>
        <w:t>Sécuriser</w:t>
      </w:r>
      <w:r w:rsidRPr="00434F53">
        <w:rPr>
          <w:rFonts w:ascii="Roboto" w:eastAsia="Times New Roman" w:hAnsi="Roboto" w:cs="Times New Roman"/>
          <w:color w:val="4B4B4B"/>
          <w:kern w:val="0"/>
          <w:lang w:eastAsia="fr-FR"/>
          <w14:ligatures w14:val="none"/>
        </w:rPr>
        <w:t> la manipulation des substances chimiques par les salariés,</w:t>
      </w:r>
    </w:p>
    <w:p w:rsidR="00434F53" w:rsidRPr="00434F53" w:rsidRDefault="00434F53" w:rsidP="00434F53">
      <w:pPr>
        <w:numPr>
          <w:ilvl w:val="0"/>
          <w:numId w:val="1"/>
        </w:numPr>
        <w:spacing w:before="100" w:beforeAutospacing="1" w:after="100" w:afterAutospacing="1"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b/>
          <w:bCs/>
          <w:color w:val="4B4B4B"/>
          <w:kern w:val="0"/>
          <w:lang w:eastAsia="fr-FR"/>
          <w14:ligatures w14:val="none"/>
        </w:rPr>
        <w:t>Renforcer</w:t>
      </w:r>
      <w:r w:rsidRPr="00434F53">
        <w:rPr>
          <w:rFonts w:ascii="Roboto" w:eastAsia="Times New Roman" w:hAnsi="Roboto" w:cs="Times New Roman"/>
          <w:color w:val="4B4B4B"/>
          <w:kern w:val="0"/>
          <w:lang w:eastAsia="fr-FR"/>
          <w14:ligatures w14:val="none"/>
        </w:rPr>
        <w:t> la compétitivité de l'industrie,</w:t>
      </w:r>
    </w:p>
    <w:p w:rsidR="00434F53" w:rsidRPr="00434F53" w:rsidRDefault="00434F53" w:rsidP="00434F53">
      <w:pPr>
        <w:numPr>
          <w:ilvl w:val="0"/>
          <w:numId w:val="1"/>
        </w:numPr>
        <w:spacing w:before="100" w:beforeAutospacing="1" w:after="100" w:afterAutospacing="1"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b/>
          <w:bCs/>
          <w:color w:val="4B4B4B"/>
          <w:kern w:val="0"/>
          <w:lang w:eastAsia="fr-FR"/>
          <w14:ligatures w14:val="none"/>
        </w:rPr>
        <w:t>Instaurer</w:t>
      </w:r>
      <w:r w:rsidRPr="00434F53">
        <w:rPr>
          <w:rFonts w:ascii="Roboto" w:eastAsia="Times New Roman" w:hAnsi="Roboto" w:cs="Times New Roman"/>
          <w:color w:val="4B4B4B"/>
          <w:kern w:val="0"/>
          <w:lang w:eastAsia="fr-FR"/>
          <w14:ligatures w14:val="none"/>
        </w:rPr>
        <w:t> une information identique et transparente sur la nature et les risques des substances, du fournisseur jusqu'au client final.</w:t>
      </w:r>
    </w:p>
    <w:p w:rsidR="00434F53" w:rsidRPr="00434F53" w:rsidRDefault="00434F53" w:rsidP="00434F53">
      <w:pPr>
        <w:spacing w:before="180" w:after="180"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color w:val="4B4B4B"/>
          <w:kern w:val="0"/>
          <w:lang w:eastAsia="fr-FR"/>
          <w14:ligatures w14:val="none"/>
        </w:rPr>
        <w:t>En ce qui concerne le domaine du bijou fantaisie, REACH vise à </w:t>
      </w:r>
      <w:r w:rsidRPr="00434F53">
        <w:rPr>
          <w:rFonts w:ascii="Roboto" w:eastAsia="Times New Roman" w:hAnsi="Roboto" w:cs="Times New Roman"/>
          <w:b/>
          <w:bCs/>
          <w:color w:val="4B4B4B"/>
          <w:kern w:val="0"/>
          <w:lang w:eastAsia="fr-FR"/>
          <w14:ligatures w14:val="none"/>
        </w:rPr>
        <w:t>limiter l'utilisation de nickel et aussi de métaux lourds</w:t>
      </w:r>
      <w:r w:rsidRPr="00434F53">
        <w:rPr>
          <w:rFonts w:ascii="Roboto" w:eastAsia="Times New Roman" w:hAnsi="Roboto" w:cs="Times New Roman"/>
          <w:color w:val="4B4B4B"/>
          <w:kern w:val="0"/>
          <w:lang w:eastAsia="fr-FR"/>
          <w14:ligatures w14:val="none"/>
        </w:rPr>
        <w:t> comme le plomb, le cadmium, le mercure (Annexe XVII de la règlementation REACH) :</w:t>
      </w:r>
    </w:p>
    <w:p w:rsidR="00434F53" w:rsidRPr="00434F53" w:rsidRDefault="00434F53" w:rsidP="00434F53">
      <w:pPr>
        <w:numPr>
          <w:ilvl w:val="0"/>
          <w:numId w:val="2"/>
        </w:numPr>
        <w:spacing w:before="100" w:beforeAutospacing="1" w:after="100" w:afterAutospacing="1"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b/>
          <w:bCs/>
          <w:color w:val="4B4B4B"/>
          <w:kern w:val="0"/>
          <w:lang w:eastAsia="fr-FR"/>
          <w14:ligatures w14:val="none"/>
        </w:rPr>
        <w:t>Le plomb</w:t>
      </w:r>
      <w:r w:rsidRPr="00434F53">
        <w:rPr>
          <w:rFonts w:ascii="Roboto" w:eastAsia="Times New Roman" w:hAnsi="Roboto" w:cs="Times New Roman"/>
          <w:color w:val="4B4B4B"/>
          <w:kern w:val="0"/>
          <w:lang w:eastAsia="fr-FR"/>
          <w14:ligatures w14:val="none"/>
        </w:rPr>
        <w:t xml:space="preserve"> : la concentration en plomb doit être égale ou inférieure à 0,05% en poids, soit 500 mg/kg (500 ppm part pour mille), pour les articles de bijouterie et de bijouterie fantaisie, ainsi que les accessoires pour cheveux (bracelets, colliers, bagues, bijoux de piercing, montres-bracelets et bracelets, broches, boutons de </w:t>
      </w:r>
      <w:r w:rsidRPr="00434F53">
        <w:rPr>
          <w:rFonts w:ascii="Roboto" w:eastAsia="Times New Roman" w:hAnsi="Roboto" w:cs="Times New Roman"/>
          <w:color w:val="4B4B4B"/>
          <w:kern w:val="0"/>
          <w:lang w:eastAsia="fr-FR"/>
          <w14:ligatures w14:val="none"/>
        </w:rPr>
        <w:lastRenderedPageBreak/>
        <w:t>manchette) et les matériaux à partir desquels les bijoux sont fabriqués.</w:t>
      </w:r>
      <w:r w:rsidRPr="00434F53">
        <w:rPr>
          <w:rFonts w:ascii="Roboto" w:eastAsia="Times New Roman" w:hAnsi="Roboto" w:cs="Times New Roman"/>
          <w:color w:val="4B4B4B"/>
          <w:kern w:val="0"/>
          <w:lang w:eastAsia="fr-FR"/>
          <w14:ligatures w14:val="none"/>
        </w:rPr>
        <w:br/>
        <w:t>En grande quantité, le plomb peut avoir des effets neurotoxiques pour le développement, cardiovasculaires et rénaux lorsqu'il est absorbé par l'organisme.</w:t>
      </w:r>
    </w:p>
    <w:p w:rsidR="00434F53" w:rsidRPr="00434F53" w:rsidRDefault="00434F53" w:rsidP="00434F53">
      <w:pPr>
        <w:spacing w:before="180" w:after="180"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color w:val="4B4B4B"/>
          <w:kern w:val="0"/>
          <w:lang w:eastAsia="fr-FR"/>
          <w14:ligatures w14:val="none"/>
        </w:rPr>
        <w:t> </w:t>
      </w:r>
    </w:p>
    <w:p w:rsidR="00434F53" w:rsidRPr="00434F53" w:rsidRDefault="00434F53" w:rsidP="00434F53">
      <w:pPr>
        <w:numPr>
          <w:ilvl w:val="0"/>
          <w:numId w:val="3"/>
        </w:numPr>
        <w:spacing w:before="100" w:beforeAutospacing="1" w:after="100" w:afterAutospacing="1"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b/>
          <w:bCs/>
          <w:color w:val="4B4B4B"/>
          <w:kern w:val="0"/>
          <w:lang w:eastAsia="fr-FR"/>
          <w14:ligatures w14:val="none"/>
        </w:rPr>
        <w:t>Le cadmium</w:t>
      </w:r>
      <w:r w:rsidRPr="00434F53">
        <w:rPr>
          <w:rFonts w:ascii="Roboto" w:eastAsia="Times New Roman" w:hAnsi="Roboto" w:cs="Times New Roman"/>
          <w:color w:val="4B4B4B"/>
          <w:kern w:val="0"/>
          <w:lang w:eastAsia="fr-FR"/>
          <w14:ligatures w14:val="none"/>
        </w:rPr>
        <w:t> : </w:t>
      </w:r>
      <w:r w:rsidRPr="00434F53">
        <w:rPr>
          <w:rFonts w:ascii="Roboto" w:eastAsia="Times New Roman" w:hAnsi="Roboto" w:cs="Times New Roman"/>
          <w:color w:val="3C3C3C"/>
          <w:kern w:val="0"/>
          <w:lang w:eastAsia="fr-FR"/>
          <w14:ligatures w14:val="none"/>
        </w:rPr>
        <w:t>la concentration en cadmium doit être égale ou inférieure à 0,01% en poids, soit 100 mg/kg (100 ppm part pour mille), pour les perles en métal et tous éléments utilisés dans la fabrication des bijoux, ainsi que les parties en métal des articles de bijouterie et bijouterie fantaisie et les accessoires pour cheveux </w:t>
      </w:r>
      <w:r w:rsidRPr="00434F53">
        <w:rPr>
          <w:rFonts w:ascii="Roboto" w:eastAsia="Times New Roman" w:hAnsi="Roboto" w:cs="Times New Roman"/>
          <w:color w:val="4B4B4B"/>
          <w:kern w:val="0"/>
          <w:lang w:eastAsia="fr-FR"/>
          <w14:ligatures w14:val="none"/>
        </w:rPr>
        <w:t>(bracelets, colliers, bagues, bijoux de piercing, montres-bracelets et bracelets, broches, boutons de manchette) et les matériaux à partir desquels les bijoux sont fabriqués.</w:t>
      </w:r>
      <w:r w:rsidRPr="00434F53">
        <w:rPr>
          <w:rFonts w:ascii="Roboto" w:eastAsia="Times New Roman" w:hAnsi="Roboto" w:cs="Times New Roman"/>
          <w:color w:val="4B4B4B"/>
          <w:kern w:val="0"/>
          <w:lang w:eastAsia="fr-FR"/>
          <w14:ligatures w14:val="none"/>
        </w:rPr>
        <w:br/>
        <w:t>Le cadmium est reconnu cancérigène et entraîne des atteintes rénales et une fragilité osseuse lors d'une exposition prolongée.</w:t>
      </w:r>
    </w:p>
    <w:p w:rsidR="00434F53" w:rsidRPr="00434F53" w:rsidRDefault="00434F53" w:rsidP="00434F53">
      <w:pPr>
        <w:spacing w:before="180" w:after="180"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color w:val="4B4B4B"/>
          <w:kern w:val="0"/>
          <w:lang w:eastAsia="fr-FR"/>
          <w14:ligatures w14:val="none"/>
        </w:rPr>
        <w:t> </w:t>
      </w:r>
    </w:p>
    <w:p w:rsidR="00434F53" w:rsidRPr="00434F53" w:rsidRDefault="00434F53" w:rsidP="00434F53">
      <w:pPr>
        <w:numPr>
          <w:ilvl w:val="0"/>
          <w:numId w:val="4"/>
        </w:numPr>
        <w:spacing w:before="100" w:beforeAutospacing="1" w:after="100" w:afterAutospacing="1"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b/>
          <w:bCs/>
          <w:color w:val="4B4B4B"/>
          <w:kern w:val="0"/>
          <w:lang w:eastAsia="fr-FR"/>
          <w14:ligatures w14:val="none"/>
        </w:rPr>
        <w:t>Le nickel</w:t>
      </w:r>
      <w:r w:rsidRPr="00434F53">
        <w:rPr>
          <w:rFonts w:ascii="Roboto" w:eastAsia="Times New Roman" w:hAnsi="Roboto" w:cs="Times New Roman"/>
          <w:color w:val="4B4B4B"/>
          <w:kern w:val="0"/>
          <w:lang w:eastAsia="fr-FR"/>
          <w14:ligatures w14:val="none"/>
        </w:rPr>
        <w:t> : selon la directive européenne 94/27/CE, le taux de nickel en contact direct et prolongé avec la peau doit être inférieur à 0,5 </w:t>
      </w:r>
      <w:r w:rsidRPr="00434F53">
        <w:rPr>
          <w:rFonts w:ascii="Roboto" w:eastAsia="Times New Roman" w:hAnsi="Roboto" w:cs="Times New Roman"/>
          <w:color w:val="3C3C3C"/>
          <w:kern w:val="0"/>
          <w:lang w:eastAsia="fr-FR"/>
          <w14:ligatures w14:val="none"/>
        </w:rPr>
        <w:t>µg par centimètre carré et par semaine (0.5µg/cm²/semaine) ou 0,2 µg par centimètre carré et par semaine (0.2µg/cm²/semaine) pour tout assemblage de tige pénétrant dans le corps. Cela concerne les boucles d'oreilles, les colliers, les bracelets, les chaînes, les bracelets de cheville, les bagues, les boîtiers, les bracelets et les fermoirs de montres, les boutons à rivet, les boucles rivets, les fermetures Éclair et marques en métal lorsqu'ils sont utilisés dans les vêtements).</w:t>
      </w:r>
      <w:r w:rsidRPr="00434F53">
        <w:rPr>
          <w:rFonts w:ascii="Roboto" w:eastAsia="Times New Roman" w:hAnsi="Roboto" w:cs="Times New Roman"/>
          <w:color w:val="3C3C3C"/>
          <w:kern w:val="0"/>
          <w:lang w:eastAsia="fr-FR"/>
          <w14:ligatures w14:val="none"/>
        </w:rPr>
        <w:br/>
        <w:t>En grande quantité, le nickel provoque des allergies lorsqu'il est en contact prolongé avec la peau.</w:t>
      </w:r>
    </w:p>
    <w:p w:rsidR="00434F53" w:rsidRPr="00434F53" w:rsidRDefault="00434F53" w:rsidP="00434F53">
      <w:pPr>
        <w:outlineLvl w:val="1"/>
        <w:rPr>
          <w:rFonts w:ascii="Roboto" w:eastAsia="Times New Roman" w:hAnsi="Roboto" w:cs="Times New Roman"/>
          <w:caps/>
          <w:color w:val="EF7993"/>
          <w:kern w:val="0"/>
          <w:sz w:val="30"/>
          <w:szCs w:val="30"/>
          <w:lang w:eastAsia="fr-FR"/>
          <w14:ligatures w14:val="none"/>
        </w:rPr>
      </w:pPr>
      <w:r w:rsidRPr="00434F53">
        <w:rPr>
          <w:rFonts w:ascii="Roboto" w:eastAsia="Times New Roman" w:hAnsi="Roboto" w:cs="Times New Roman"/>
          <w:caps/>
          <w:color w:val="EF7993"/>
          <w:kern w:val="0"/>
          <w:sz w:val="30"/>
          <w:szCs w:val="30"/>
          <w:lang w:eastAsia="fr-FR"/>
          <w14:ligatures w14:val="none"/>
        </w:rPr>
        <w:t>QUI EST SOUMIS À REACH ?</w:t>
      </w:r>
    </w:p>
    <w:p w:rsidR="00434F53" w:rsidRPr="00434F53" w:rsidRDefault="00434F53" w:rsidP="00434F53">
      <w:pPr>
        <w:spacing w:before="180" w:after="180"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color w:val="3C3C3C"/>
          <w:kern w:val="0"/>
          <w:lang w:eastAsia="fr-FR"/>
          <w14:ligatures w14:val="none"/>
        </w:rPr>
        <w:t>Cette réglementation européenne concerne toutes les entreprises de l'Union européenne qui fabriquent, importent, utilisent ou vendent des articles qui peuvent avoir des effets nocifs pour la santé ou l'environnement. Sont concernés les fabricants, les importateurs et fournisseurs d'articles, les grossistes, les distributeurs et les utilisateurs en aval.</w:t>
      </w:r>
    </w:p>
    <w:p w:rsidR="00434F53" w:rsidRPr="00434F53" w:rsidRDefault="00434F53" w:rsidP="00434F53">
      <w:pPr>
        <w:outlineLvl w:val="1"/>
        <w:rPr>
          <w:rFonts w:ascii="Roboto" w:eastAsia="Times New Roman" w:hAnsi="Roboto" w:cs="Times New Roman"/>
          <w:caps/>
          <w:color w:val="EF7993"/>
          <w:kern w:val="0"/>
          <w:sz w:val="30"/>
          <w:szCs w:val="30"/>
          <w:lang w:eastAsia="fr-FR"/>
          <w14:ligatures w14:val="none"/>
        </w:rPr>
      </w:pPr>
      <w:r w:rsidRPr="00434F53">
        <w:rPr>
          <w:rFonts w:ascii="Roboto" w:eastAsia="Times New Roman" w:hAnsi="Roboto" w:cs="Times New Roman"/>
          <w:caps/>
          <w:color w:val="EF7993"/>
          <w:kern w:val="0"/>
          <w:sz w:val="30"/>
          <w:szCs w:val="30"/>
          <w:lang w:eastAsia="fr-FR"/>
          <w14:ligatures w14:val="none"/>
        </w:rPr>
        <w:t>COMMENT SAVOIR SI UN PRODUIT EST REACH ?</w:t>
      </w:r>
    </w:p>
    <w:p w:rsidR="00434F53" w:rsidRPr="00434F53" w:rsidRDefault="00434F53" w:rsidP="00434F53">
      <w:pPr>
        <w:spacing w:before="180" w:after="180"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color w:val="4B4B4B"/>
          <w:kern w:val="0"/>
          <w:lang w:eastAsia="fr-FR"/>
          <w14:ligatures w14:val="none"/>
        </w:rPr>
        <w:t>Eh bien, il faut le tester ! Chez Perles &amp; Co, nous vérifiions tous nos produits. Lors d'une livraison, si le résultat d'un des métaux lourds excède la limite fixée, le produit est systématiquement mis de côté et retourné au fournisseur.</w:t>
      </w:r>
    </w:p>
    <w:p w:rsidR="00434F53" w:rsidRPr="00434F53" w:rsidRDefault="00434F53" w:rsidP="00434F53">
      <w:pPr>
        <w:spacing w:line="360" w:lineRule="atLeast"/>
        <w:rPr>
          <w:rFonts w:ascii="Roboto" w:eastAsia="Times New Roman" w:hAnsi="Roboto" w:cs="Times New Roman"/>
          <w:color w:val="4B4B4B"/>
          <w:kern w:val="0"/>
          <w:lang w:eastAsia="fr-FR"/>
          <w14:ligatures w14:val="none"/>
        </w:rPr>
      </w:pPr>
      <w:r w:rsidRPr="00434F53">
        <w:rPr>
          <w:rFonts w:ascii="Roboto" w:eastAsia="Times New Roman" w:hAnsi="Roboto" w:cs="Times New Roman"/>
          <w:color w:val="4B4B4B"/>
          <w:kern w:val="0"/>
          <w:lang w:eastAsia="fr-FR"/>
          <w14:ligatures w14:val="none"/>
        </w:rPr>
        <w:lastRenderedPageBreak/>
        <w:t xml:space="preserve">Pour savoir si vos créations, ou vos articles importés non achetés chez Perles &amp; </w:t>
      </w:r>
      <w:proofErr w:type="spellStart"/>
      <w:r w:rsidRPr="00434F53">
        <w:rPr>
          <w:rFonts w:ascii="Roboto" w:eastAsia="Times New Roman" w:hAnsi="Roboto" w:cs="Times New Roman"/>
          <w:color w:val="4B4B4B"/>
          <w:kern w:val="0"/>
          <w:lang w:eastAsia="fr-FR"/>
          <w14:ligatures w14:val="none"/>
        </w:rPr>
        <w:t>co</w:t>
      </w:r>
      <w:proofErr w:type="spellEnd"/>
      <w:r w:rsidRPr="00434F53">
        <w:rPr>
          <w:rFonts w:ascii="Roboto" w:eastAsia="Times New Roman" w:hAnsi="Roboto" w:cs="Times New Roman"/>
          <w:color w:val="4B4B4B"/>
          <w:kern w:val="0"/>
          <w:lang w:eastAsia="fr-FR"/>
          <w14:ligatures w14:val="none"/>
        </w:rPr>
        <w:t>, respectent la norme REACH, nous vous proposons de réaliser des pré-contrôles sur des échantillons grâce à notre </w:t>
      </w:r>
      <w:hyperlink r:id="rId6" w:history="1">
        <w:r w:rsidRPr="00434F53">
          <w:rPr>
            <w:rFonts w:ascii="Roboto" w:eastAsia="Times New Roman" w:hAnsi="Roboto" w:cs="Times New Roman"/>
            <w:color w:val="EF7993"/>
            <w:kern w:val="0"/>
            <w:u w:val="single"/>
            <w:lang w:eastAsia="fr-FR"/>
            <w14:ligatures w14:val="none"/>
          </w:rPr>
          <w:t>spectromètre à fluorescence de rayons X (XRF)</w:t>
        </w:r>
      </w:hyperlink>
      <w:r w:rsidRPr="00434F53">
        <w:rPr>
          <w:rFonts w:ascii="Roboto" w:eastAsia="Times New Roman" w:hAnsi="Roboto" w:cs="Times New Roman"/>
          <w:color w:val="4B4B4B"/>
          <w:kern w:val="0"/>
          <w:lang w:eastAsia="fr-FR"/>
          <w14:ligatures w14:val="none"/>
        </w:rPr>
        <w:t>.</w:t>
      </w:r>
      <w:r w:rsidRPr="00434F53">
        <w:rPr>
          <w:rFonts w:ascii="Roboto" w:eastAsia="Times New Roman" w:hAnsi="Roboto" w:cs="Times New Roman"/>
          <w:color w:val="4B4B4B"/>
          <w:kern w:val="0"/>
          <w:lang w:eastAsia="fr-FR"/>
          <w14:ligatures w14:val="none"/>
        </w:rPr>
        <w:br/>
        <w:t>Ces </w:t>
      </w:r>
      <w:hyperlink r:id="rId7" w:history="1">
        <w:r w:rsidRPr="00434F53">
          <w:rPr>
            <w:rFonts w:ascii="Roboto" w:eastAsia="Times New Roman" w:hAnsi="Roboto" w:cs="Times New Roman"/>
            <w:color w:val="EF7993"/>
            <w:kern w:val="0"/>
            <w:u w:val="single"/>
            <w:lang w:eastAsia="fr-FR"/>
            <w14:ligatures w14:val="none"/>
          </w:rPr>
          <w:t>nouvelles prestations</w:t>
        </w:r>
      </w:hyperlink>
      <w:r w:rsidRPr="00434F53">
        <w:rPr>
          <w:rFonts w:ascii="Roboto" w:eastAsia="Times New Roman" w:hAnsi="Roboto" w:cs="Times New Roman"/>
          <w:color w:val="4B4B4B"/>
          <w:kern w:val="0"/>
          <w:lang w:eastAsia="fr-FR"/>
          <w14:ligatures w14:val="none"/>
        </w:rPr>
        <w:t> vous sont accessibles, via notre site Internet et si votre activité est établie en France métropolitaine, pour vérifier la qualité et la conformité des composants pour bijoux que vous n'avez pas achetés chez Perles &amp; Co.</w:t>
      </w:r>
      <w:r w:rsidRPr="00434F53">
        <w:rPr>
          <w:rFonts w:ascii="Roboto" w:eastAsia="Times New Roman" w:hAnsi="Roboto" w:cs="Times New Roman"/>
          <w:color w:val="4B4B4B"/>
          <w:kern w:val="0"/>
          <w:lang w:eastAsia="fr-FR"/>
          <w14:ligatures w14:val="none"/>
        </w:rPr>
        <w:br/>
        <w:t>Toutefois, Perles &amp; Co ne se substituent pas à un laboratoire d'analyses certifié. Les résultats fournis n'ont aucune valeur légale et ne sont pas certifiés.</w:t>
      </w:r>
    </w:p>
    <w:p w:rsidR="00434F53" w:rsidRDefault="00434F53"/>
    <w:sectPr w:rsidR="00434F53" w:rsidSect="00434F5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7718"/>
    <w:multiLevelType w:val="multilevel"/>
    <w:tmpl w:val="4E3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A00DB"/>
    <w:multiLevelType w:val="multilevel"/>
    <w:tmpl w:val="E52C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777AB"/>
    <w:multiLevelType w:val="multilevel"/>
    <w:tmpl w:val="7A3C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4112E"/>
    <w:multiLevelType w:val="multilevel"/>
    <w:tmpl w:val="68C4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509782">
    <w:abstractNumId w:val="1"/>
  </w:num>
  <w:num w:numId="2" w16cid:durableId="2026862268">
    <w:abstractNumId w:val="0"/>
  </w:num>
  <w:num w:numId="3" w16cid:durableId="1251504385">
    <w:abstractNumId w:val="3"/>
  </w:num>
  <w:num w:numId="4" w16cid:durableId="1949502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53"/>
    <w:rsid w:val="00434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7A92D1"/>
  <w15:chartTrackingRefBased/>
  <w15:docId w15:val="{88311840-A8B0-D240-970B-8E3790A9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434F53"/>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4F53"/>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434F53"/>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434F53"/>
  </w:style>
  <w:style w:type="character" w:styleId="lev">
    <w:name w:val="Strong"/>
    <w:basedOn w:val="Policepardfaut"/>
    <w:uiPriority w:val="22"/>
    <w:qFormat/>
    <w:rsid w:val="00434F53"/>
    <w:rPr>
      <w:b/>
      <w:bCs/>
    </w:rPr>
  </w:style>
  <w:style w:type="character" w:styleId="Lienhypertexte">
    <w:name w:val="Hyperlink"/>
    <w:basedOn w:val="Policepardfaut"/>
    <w:uiPriority w:val="99"/>
    <w:semiHidden/>
    <w:unhideWhenUsed/>
    <w:rsid w:val="00434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lesandco.com/Apprets-Bijoux-Analyse-XRF-c-3861_30769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lesandco.com/ressources/ft26541-analyse-au-spectrometre-plomb-cadmium-nickel-que-contiennent-vos-bijoux.html" TargetMode="External"/><Relationship Id="rId5" Type="http://schemas.openxmlformats.org/officeDocument/2006/relationships/hyperlink" Target="https://echa.europa.eu/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4494</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2023-08-22T20:15:00Z</dcterms:created>
  <dcterms:modified xsi:type="dcterms:W3CDTF">2023-08-22T20:17:00Z</dcterms:modified>
</cp:coreProperties>
</file>